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代 理 词</w:t>
      </w:r>
    </w:p>
    <w:p>
      <w:pPr>
        <w:rPr>
          <w:rFonts w:hint="eastAsia" w:ascii="楷体" w:hAnsi="楷体" w:eastAsia="楷体" w:cs="楷体"/>
          <w:b/>
          <w:bCs/>
          <w:sz w:val="28"/>
          <w:szCs w:val="28"/>
          <w:lang w:val="en-US" w:eastAsia="zh-CN"/>
        </w:rPr>
      </w:pPr>
      <w:r>
        <w:rPr>
          <w:rFonts w:hint="eastAsia" w:ascii="楷体" w:hAnsi="楷体" w:eastAsia="楷体" w:cs="楷体"/>
          <w:b/>
          <w:bCs/>
          <w:sz w:val="28"/>
          <w:szCs w:val="28"/>
        </w:rPr>
        <w:t>尊敬的</w:t>
      </w:r>
      <w:r>
        <w:rPr>
          <w:rFonts w:hint="eastAsia" w:ascii="楷体" w:hAnsi="楷体" w:eastAsia="楷体" w:cs="楷体"/>
          <w:b/>
          <w:bCs/>
          <w:sz w:val="28"/>
          <w:szCs w:val="28"/>
          <w:lang w:val="en-US" w:eastAsia="zh-CN"/>
        </w:rPr>
        <w:t>审判</w:t>
      </w:r>
      <w:r>
        <w:rPr>
          <w:rFonts w:hint="eastAsia" w:ascii="楷体" w:hAnsi="楷体" w:eastAsia="楷体" w:cs="楷体"/>
          <w:b/>
          <w:bCs/>
          <w:sz w:val="28"/>
          <w:szCs w:val="28"/>
        </w:rPr>
        <w:t>长、人民陪审员</w:t>
      </w:r>
      <w:r>
        <w:rPr>
          <w:rFonts w:hint="eastAsia" w:ascii="楷体" w:hAnsi="楷体" w:eastAsia="楷体" w:cs="楷体"/>
          <w:b/>
          <w:bCs/>
          <w:sz w:val="28"/>
          <w:szCs w:val="28"/>
          <w:lang w:val="en-US" w:eastAsia="zh-CN"/>
        </w:rPr>
        <w:t>：</w:t>
      </w:r>
    </w:p>
    <w:p>
      <w:p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sz w:val="28"/>
          <w:szCs w:val="28"/>
          <w:lang w:val="en-US" w:eastAsia="zh-CN"/>
        </w:rPr>
        <w:t>本所律师接受熊某文委托，担任熊某文诉高某明、</w:t>
      </w:r>
      <w:r>
        <w:rPr>
          <w:rFonts w:hint="eastAsia" w:ascii="楷体" w:hAnsi="楷体" w:eastAsia="楷体" w:cs="楷体"/>
          <w:b w:val="0"/>
          <w:bCs w:val="0"/>
          <w:sz w:val="28"/>
          <w:szCs w:val="28"/>
          <w:lang w:val="en-US" w:eastAsia="zh-CN"/>
        </w:rPr>
        <w:t>S市A有限公司提供劳务者受害责任纠纷案一审代理人。本所律师依法提交了证据材料，参加了庭审，现根据法庭审理情况，发表代理意见如下：</w:t>
      </w:r>
      <w:bookmarkStart w:id="0" w:name="_GoBack"/>
      <w:bookmarkEnd w:id="0"/>
    </w:p>
    <w:p>
      <w:pPr>
        <w:numPr>
          <w:ilvl w:val="0"/>
          <w:numId w:val="1"/>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原告熊某文没有任何过错</w:t>
      </w:r>
    </w:p>
    <w:p>
      <w:pPr>
        <w:numPr>
          <w:ilvl w:val="0"/>
          <w:numId w:val="0"/>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被告一和被告二代理人在庭审中反复提到，原告上班时间和规定时间不符的问题，据此认为原告自身有一定的过错，本代理人认为这是十分荒唐的：</w:t>
      </w:r>
    </w:p>
    <w:p>
      <w:pPr>
        <w:numPr>
          <w:ilvl w:val="0"/>
          <w:numId w:val="2"/>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原告事故发生时间为早上6点半左右，此时天已经大亮，不存在视线模糊致使损害发生的因素。</w:t>
      </w:r>
    </w:p>
    <w:p>
      <w:pPr>
        <w:numPr>
          <w:ilvl w:val="0"/>
          <w:numId w:val="2"/>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本案是劳务者受害责任纠纷，不是‘工伤’所要求的三个条件，即工作时间、工作地点、工作原因。事实上，两被告也没有设立考勤打卡制度、也没有考勤记录。从被告一提供的工时记录表来看，原告一天工作有十小时，是按照小时数来计酬的，何时上班，何时下班，并不受两被告的制度约束，两被告也没有任何相关制度。被告二代理人当庭也承认，被告二就是将工地相关劳务一揽子承包给欧某宏，基本就不管理任何事务，哪来的规章制度约束务工人员？退一步讲，即使有工作时间的要求，作为原告，提前进入工作状态，这难道有过错吗？这恰恰是原告工作积极、负责的表现！</w:t>
      </w:r>
    </w:p>
    <w:p>
      <w:pPr>
        <w:numPr>
          <w:ilvl w:val="0"/>
          <w:numId w:val="2"/>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本案事故原因是垫脚木料断裂造成的，垫脚木料是欧某宏提供的（欧从被告一处接活是包工包料，欧将部分木工活分包给被告一）。原告操作过程中并无不当。</w:t>
      </w:r>
    </w:p>
    <w:p>
      <w:pPr>
        <w:numPr>
          <w:ilvl w:val="0"/>
          <w:numId w:val="2"/>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两被告提供的安全保护措施仅限于安全帽，施工现场没有安全带、没有安全网、也没有安全员督导，而且原告高空作业时，楼面到处散放了钢管、模板，施工现场十分混乱。作业时，原告是带了安全帽的，从高处坠落后，安全帽被摔破，因此，原告对自己安全尽了注意义务，不存在自信的过失，也不存在疏忽大意的过失。</w:t>
      </w:r>
    </w:p>
    <w:p>
      <w:pPr>
        <w:numPr>
          <w:ilvl w:val="0"/>
          <w:numId w:val="2"/>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本案应适用无过错责任原则。原告当时所处高度有四米多，应属于高空作业，这种固有的风险应由两被告承担，何况施工现场并没有任何防护措施，施工条件简陋，仅仅提供一根木料让原告进行施工，责任完全在两被告方。</w:t>
      </w:r>
    </w:p>
    <w:p>
      <w:pPr>
        <w:numPr>
          <w:ilvl w:val="0"/>
          <w:numId w:val="3"/>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被告二应承担连带责任</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庭审过程中，被告二代理人也承认没有建筑施工许可证和建筑规划许可证等任何相关证件，作为九层的厂房，这是乱搭乱建的严重违法行为。另外，被告二发包过程中，也不考虑欧某宏的的施工资质和施工条件就进行发包，作为风险特别大的建筑行业，发生人身伤亡事故就几乎是个必然，事实上，原告受伤后不久，又有一位泥工师傅摔伤！</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根据《最高人民法院关于审理人身损害赔偿案件适用法律若干问题的解释》第十一条之规定：“雇员在从事雇佣活动中遭受人身损害，雇主应当承担赔偿责任。雇佣关系以外的第三人造成雇员人身损害的，赔偿权利人可以请求第三人承担赔偿责任，也可以请求雇主承担赔偿责任。雇主承担赔偿责任后，可以向第三人追偿。</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雇员在从事雇佣活动中因安全生产事故遭受人身损害，发包人、分包人知道或者应当知道接受发包或者分包业务的雇主没有相应资质或者安全生产条件的，应当与雇主承担连带赔偿责任。属于《工伤保险条例》调整的劳动关系和工伤保险范围的，不适用本条规定。”</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综上，被告二作为发包方，应与被告一承担连带责任。尤其恶劣的是，被告二自始至终就没有给伤者任何安抚和补偿，而被告一却积极筹措医疗费用，多次看望原告。按照被告二的观点，进行了发包就没有自己任何法律责任了，风险永远是别人的，利益永远是自己的，这不符合风险的合理分担、法律保护弱势方等立法精神。</w:t>
      </w:r>
    </w:p>
    <w:p>
      <w:pPr>
        <w:numPr>
          <w:ilvl w:val="0"/>
          <w:numId w:val="0"/>
        </w:numPr>
        <w:jc w:val="both"/>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三、原告不需要任何资质</w:t>
      </w:r>
    </w:p>
    <w:p>
      <w:pPr>
        <w:numPr>
          <w:ilvl w:val="0"/>
          <w:numId w:val="0"/>
        </w:numPr>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原告工作内容为拆卸模板，工具就是一个锤子加一个撬杠，这是根本就不需要技术的气力活，不像电焊工、钢筋工等技术岗位，需要培训、发证才可以从事相关工作。国家目前也没有那部法律、那个部门对原告这种纯粹提供劳动力的人员进行培训、发证。两被告以原告没有相关证件来推卸责任是没有法律依据的。</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bCs/>
          <w:sz w:val="28"/>
          <w:szCs w:val="28"/>
          <w:lang w:val="en-US" w:eastAsia="zh-CN"/>
        </w:rPr>
        <w:t>四、郜某明不是原告的雇主</w:t>
      </w:r>
      <w:r>
        <w:rPr>
          <w:rFonts w:hint="eastAsia" w:ascii="楷体" w:hAnsi="楷体" w:eastAsia="楷体" w:cs="楷体"/>
          <w:b w:val="0"/>
          <w:bCs w:val="0"/>
          <w:sz w:val="28"/>
          <w:szCs w:val="28"/>
          <w:lang w:val="en-US" w:eastAsia="zh-CN"/>
        </w:rPr>
        <w:t>。</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郜某明和原告系工友关系，被告二工地的活是郜某明联络的，但郜没有从中收取原告任何提成，郜本人也是一天工作十小时，和原告等众工友一样的记工时，从被告一提供的工时表中也表明了这一事实。原告作为务工人员，工友之间互相串忙这是十分普遍的，原告如在其他工地接了活，一个人干不下来的话，也会找其他的工友赶工期。不能据此认为，郜某明就是承包人或承揽人，将风险最终转嫁到郜某明这样的工友是不符合风险和利益相一致，权利和义务相一致原则的，是极不公平的。</w:t>
      </w:r>
    </w:p>
    <w:p>
      <w:pPr>
        <w:numPr>
          <w:ilvl w:val="0"/>
          <w:numId w:val="0"/>
        </w:num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五、关于原告的户籍问题</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原告户口本清晰显示其为城镇户口，且其在S市务工二十多年，应该适用城镇居民标准计算各项赔偿金额。两被告代理人反复质疑原告身份，认为其离开国有企业多年，老家系农村，所以不应该适用城镇标准，这是不对的。原告在农村老家父母尚健在，原告回乡看望父母能改变其是城镇户籍的事实吗？至于身份证和户口本居住信息不一致问题，这也很正常。原告庭审过程中出示了户口本，这属于书证里面的公文书，证明效力高，原告已经完成了其举证义务，如被告方认为不属实，那么举证责任就发生转移，而不是一味的主张不真实，没有证据支持的主张是不可以采纳和支持的。</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综上，恳请法庭支持原告诉讼请求，维护原告合法权益。</w:t>
      </w:r>
    </w:p>
    <w:p>
      <w:pPr>
        <w:numPr>
          <w:ilvl w:val="0"/>
          <w:numId w:val="0"/>
        </w:numPr>
        <w:ind w:firstLine="560"/>
        <w:jc w:val="righ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江西H律师事务所</w:t>
      </w:r>
    </w:p>
    <w:p>
      <w:pPr>
        <w:numPr>
          <w:ilvl w:val="0"/>
          <w:numId w:val="0"/>
        </w:numPr>
        <w:ind w:firstLine="560"/>
        <w:jc w:val="right"/>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袁开明</w:t>
      </w:r>
    </w:p>
    <w:p>
      <w:pPr>
        <w:numPr>
          <w:ilvl w:val="0"/>
          <w:numId w:val="0"/>
        </w:numPr>
        <w:wordWrap w:val="0"/>
        <w:jc w:val="right"/>
        <w:rPr>
          <w:rFonts w:hint="eastAsia" w:ascii="楷体" w:hAnsi="楷体" w:eastAsia="楷体" w:cs="楷体"/>
          <w:b w:val="0"/>
          <w:bCs w:val="0"/>
          <w:sz w:val="28"/>
          <w:szCs w:val="28"/>
          <w:lang w:val="en-US" w:eastAsia="zh-CN"/>
        </w:rPr>
      </w:pPr>
      <w:r>
        <w:rPr>
          <w:rFonts w:hint="eastAsia" w:ascii="楷体" w:hAnsi="楷体" w:eastAsia="楷体" w:cs="楷体"/>
          <w:b w:val="0"/>
          <w:bCs w:val="0"/>
          <w:color w:val="333333"/>
          <w:sz w:val="28"/>
          <w:szCs w:val="28"/>
          <w:lang w:val="en-US" w:eastAsia="zh-CN"/>
        </w:rPr>
        <w:t>2017年  月  日</w:t>
      </w:r>
    </w:p>
    <w:sectPr>
      <w:footerReference r:id="rId3" w:type="default"/>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295E3"/>
    <w:multiLevelType w:val="singleLevel"/>
    <w:tmpl w:val="A2E295E3"/>
    <w:lvl w:ilvl="0" w:tentative="0">
      <w:start w:val="1"/>
      <w:numFmt w:val="decimal"/>
      <w:suff w:val="nothing"/>
      <w:lvlText w:val="%1、"/>
      <w:lvlJc w:val="left"/>
    </w:lvl>
  </w:abstractNum>
  <w:abstractNum w:abstractNumId="1">
    <w:nsid w:val="59A7D670"/>
    <w:multiLevelType w:val="singleLevel"/>
    <w:tmpl w:val="59A7D670"/>
    <w:lvl w:ilvl="0" w:tentative="0">
      <w:start w:val="1"/>
      <w:numFmt w:val="chineseCounting"/>
      <w:suff w:val="nothing"/>
      <w:lvlText w:val="%1、"/>
      <w:lvlJc w:val="left"/>
    </w:lvl>
  </w:abstractNum>
  <w:abstractNum w:abstractNumId="2">
    <w:nsid w:val="59A7DB24"/>
    <w:multiLevelType w:val="singleLevel"/>
    <w:tmpl w:val="59A7DB24"/>
    <w:lvl w:ilvl="0" w:tentative="0">
      <w:start w:val="2"/>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56371"/>
    <w:rsid w:val="031166AD"/>
    <w:rsid w:val="05423C65"/>
    <w:rsid w:val="05D11C91"/>
    <w:rsid w:val="079908E1"/>
    <w:rsid w:val="07E73C13"/>
    <w:rsid w:val="08F52FFF"/>
    <w:rsid w:val="09D83805"/>
    <w:rsid w:val="0C0A71A3"/>
    <w:rsid w:val="0CD210DD"/>
    <w:rsid w:val="0FB93D3C"/>
    <w:rsid w:val="1176269F"/>
    <w:rsid w:val="11A379E4"/>
    <w:rsid w:val="11EE7F54"/>
    <w:rsid w:val="14265B90"/>
    <w:rsid w:val="1A1778FD"/>
    <w:rsid w:val="1DC5324E"/>
    <w:rsid w:val="1DDF4755"/>
    <w:rsid w:val="1E09505D"/>
    <w:rsid w:val="1F0A08D7"/>
    <w:rsid w:val="1FDB460E"/>
    <w:rsid w:val="1FE03705"/>
    <w:rsid w:val="222C09EF"/>
    <w:rsid w:val="23F2172D"/>
    <w:rsid w:val="24332FFA"/>
    <w:rsid w:val="24C54F03"/>
    <w:rsid w:val="262D7358"/>
    <w:rsid w:val="29EB25D7"/>
    <w:rsid w:val="2A544594"/>
    <w:rsid w:val="2A9E0A3E"/>
    <w:rsid w:val="2CDE4038"/>
    <w:rsid w:val="2D0D5258"/>
    <w:rsid w:val="2F4607C0"/>
    <w:rsid w:val="30042715"/>
    <w:rsid w:val="30E93663"/>
    <w:rsid w:val="331E4044"/>
    <w:rsid w:val="34D5231E"/>
    <w:rsid w:val="37D04B69"/>
    <w:rsid w:val="3A8E17C1"/>
    <w:rsid w:val="3ACE55D6"/>
    <w:rsid w:val="3CA4415F"/>
    <w:rsid w:val="3DC20363"/>
    <w:rsid w:val="3DD22217"/>
    <w:rsid w:val="40CA399D"/>
    <w:rsid w:val="43D05990"/>
    <w:rsid w:val="45480C34"/>
    <w:rsid w:val="45972A0D"/>
    <w:rsid w:val="48615E38"/>
    <w:rsid w:val="495E2091"/>
    <w:rsid w:val="4AE93ADF"/>
    <w:rsid w:val="4B976594"/>
    <w:rsid w:val="5011202F"/>
    <w:rsid w:val="56DE6E37"/>
    <w:rsid w:val="578034F3"/>
    <w:rsid w:val="583054F8"/>
    <w:rsid w:val="59130BAB"/>
    <w:rsid w:val="5AA95CDD"/>
    <w:rsid w:val="5C5E6F04"/>
    <w:rsid w:val="5D3F6F52"/>
    <w:rsid w:val="5E6C6DE3"/>
    <w:rsid w:val="6260004C"/>
    <w:rsid w:val="63507841"/>
    <w:rsid w:val="68320682"/>
    <w:rsid w:val="68D46334"/>
    <w:rsid w:val="6938784E"/>
    <w:rsid w:val="6AD77350"/>
    <w:rsid w:val="6AE667C2"/>
    <w:rsid w:val="6B07625F"/>
    <w:rsid w:val="6BFA309B"/>
    <w:rsid w:val="6E302DF8"/>
    <w:rsid w:val="6F7372C2"/>
    <w:rsid w:val="73655BBA"/>
    <w:rsid w:val="748B25F0"/>
    <w:rsid w:val="76100324"/>
    <w:rsid w:val="765C3E74"/>
    <w:rsid w:val="7B2B7F88"/>
    <w:rsid w:val="7B902C63"/>
    <w:rsid w:val="7B97724B"/>
    <w:rsid w:val="7C5466BB"/>
    <w:rsid w:val="7C773A71"/>
    <w:rsid w:val="7E054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yuankaiming</dc:creator>
  <cp:lastModifiedBy>沙漠之舟：袁律</cp:lastModifiedBy>
  <dcterms:modified xsi:type="dcterms:W3CDTF">2021-03-23T08:56:25Z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