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代 理 词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尊敬的审判长、人民陪审员：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江西H律师事务所接受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L市L有限责任公司（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以下简称‘L公司’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委托，指派袁开明律师担任其诉代L市H有限责任公司（以下简称‘H公司’）股东出资纠纷一案代理人。本代理人依法参加了庭审。现根据庭审情况，发表如下代理意见：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H公司200万元注册资本阶段，股东L公司不存在以还款形式抽逃出资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H公司于2004年设立，由L市N公司（以下简称‘N公司’）及AP县D建筑公司（以下简称‘D公司’）、L公司三方出资设立，注册资金200万元，其中N公司出资80万元，占40%股权，出资方式为货币；D公司出资60万元，占30%股权，出资方式为实物；L公司出资60万元，占30%股权，出资方式为货币。L公司的该笔出资款于2004年10月19日缴存于L市市商业银行穆斯林支行H公司临时人民币账户。H公司原三位股东的认缴资本和实缴资本合计均为200万元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但庭审过程中，H公司认为L公司于2004年10月27日以还款形式（证据名称：H公司付款审批单）将上述出资抽回，这完全是混淆是非，理由如下：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1.从程序上来讲，该份《付款审批单》经过了董事长谭某诗的审批，财务总监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梁某希的签名。L公司龚某河根本就没有相关职权，不可能以职务之便抽逃出资。60万还款的出账是经过了内部程序的。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.该份《付款审批单》注明的用途是‘还款’，如果L公司是以借支的形式将60万出资款转出，而且这么多年一直挂账不予归还，那确实有抽逃出资的嫌疑。既然是‘还款’，那就意味H公司本来就欠L公司的相关款项。这60万的‘还款’不是L公司借钱给H公司后H公司的还款，而是在公司在筹办、经营过程中，作为股东之一的L公司垫付了很多款项，H公司应该给予的‘还款’。这是有合同依据的，根据《关于H公司投资及相关事宜协议书》第四.4.之规定：“三方负责进行的工程投入，设备的购置及其他有关费用的支出，最终按决算为准进行多退少补”，公司在筹办初期，因为资本金有限，且财务还没有完全的规范，原三位股东都是依据《协议书》并按照这样的程序操作：垫付款——不定期的结算，或者以借款形式从公司领取经费——拿发票进行冲抵。这从庭审中被告提供了L公司以借款形式从H公司支取现金用于H公司的日常经营的财务资料也可以证明这一点，当庭提供的一百多万的财务资料只是L公司已经冲抵或报销的部分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3.事实上，除上述60万元还款外，H公司至今尚欠L公司相关款项，具体如下：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1）L公司垫付的勘察费15万元。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2）当时为解项目之急，应T公司不合理要求，L公司转165万给H公司，加上H公司应支付给L公司15万的报销款，作为L公司180万出资款，这其中的15万是H公司应付给L公司但没有支付的款项。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3）除上述1）、2）共计30万元之外，另根据《申请尽快解决一下遗留问题》的记载，L公司至今尚有75万多元(其中，开票的有258890.50元、未处理白条费用大约50万）应报销的票据，原告方当庭出示了这些票据，L公司多次在股东会上主张权利，该份材料上有全体股东的签名，对相关事实进行了确认，也同意挂账处理，但就是不能执行。这足以证明H公司对L公司的60万还款，只不过是偿还部分欠款而已，并非抽逃资金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4）L公司龚某河担任H公司总经理，多年来，H公司一直就没有支付龚某河工资。2016年龚无奈向红古区劳动人事仲裁委员会申请劳动仲裁。H公司已经出具《收入证明》，证明龚某河月薪6000元。自2004年公司设立时至2011年，一直未支付任何工资报酬。这一事实已经在生效的劳动仲裁裁决书中得到了确认。八年来，H公司应该支付而没有支付龚某河576000元工资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综上，L公司和龚某河根据《关于H公司投资及相关事宜协议书》之约定，作为H公司原股东之一负责进行的工程投入，设备的购置及其他有关费用的支出及应该得到的劳动报酬共计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1，634，890.5元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5.根据《关于H公司投资及相关事宜协议书》第四.2条之规定，L公司委派龚某河担任H公司总经理，但龚只负责项目的审批及工程建设的管理工作，对资金的使用只有申请和建议权，没有调拨和决定权，公司的财务是有N公司负责。另外，尽管该《协议书》第二条约定，会计由L公司委派，但事实上，L公司并没有委派会计，会计是由N公司委派，N公司作为国有企业，对财务管理十分严格，龚某河根本不具备利用职务之便抽逃资金的条件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《付款审批单》上的审批签名也可以证明这一点。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综上，自2004年10月27日以还款60万元以后，前述票据经多次股东会协调，H公司还是拒不挂账，拒不销，应该予以结算而不结算。H公司仅仅是根据60万还款和60万出资数额相同，时间相近，就将2004年10月25日支付给L公司的60万元还款怀疑为抽逃出资，这是没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事实依据和法律依据的，本代理人认为，对L公司和H公司之间的往来，应该全过程、全面的核算，要算总账。试问，一个弱势到自己工资都得不到保障，垫付款项都不能报销的总经理，怎么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可能将出资抽回！因此，在H公司200万元注册资本阶段，L公司的出资是充实的，维持的，不变的。退一步讲，如果H公司和股东之间有没有结清的经济往来，完全可以提起债务纠纷诉讼，而不是目前这样，只是怀疑，不承认，不作为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二、H公司1200万元的增资是真实的、合法的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《评估报告》的目的是为了变更注册资本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被告辩称，2006年8月9日的G省X会计师事务有限公司出具的《评估报告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》仅为H公司向银行贷款所用，明显歪曲事实。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该报告第二项（第3页）表述为，“对L市H有限责任公司变更注册资本涉及的全部资产及负债进行评估，确定评估基准日净资产的现值，为L市H有限责任公司变更注册资本提供参考依据”。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被告当庭提供了一份证据，称该《评估报告》系H公司贷款所用，本代理人认为，该份证据脱离了《评估报告》正文，在工商局档案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资料里面没有该份《承诺书》，而且也是复印件，其来源和合法性存疑。</w:t>
      </w:r>
    </w:p>
    <w:p>
      <w:pPr>
        <w:numPr>
          <w:ilvl w:val="0"/>
          <w:numId w:val="2"/>
        </w:numPr>
        <w:tabs>
          <w:tab w:val="clear" w:pos="312"/>
        </w:tabs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评估增值部分的1001.59元应该作为股东出资。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2006年8月9日前，H公司的注册资本只有200万，显然，区区200万是不足以形成评估时H公司的资产规模的。评估时，H公司尚未盈利，因此，1001.59万元不属于盈余公积，而是部分来自原股东在电站建设过程中的垫款，结合本案其他证据，原三股东均有垫付款，就L公司而言，至今都有部分垫付费用得不到处理。被告答辩状中称，‘......正在建设中的在建工程属于H公司，不应作为认定股东出资是否充实的依据.......’，这一说法是不成立的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另外，根据《评估报告》第27页，资产的增值率是112.27%，资产的增值部分计入资本公积，资本公积转为股东的资本，这是符合法律规定的。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H公司原三股东增资合法合规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2006年8月10日，G省J会计师事务所出具甘J会验字（2006）006号《验资报告》，对新增资本金的来源和过程有清楚的表述：“.......H公司在原有净资产基础上增资1001.59万元入资本公积账户，再转入实收资本账户1000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万元，变更后的注册资本为人民币1200万元........”，本代理人认为，这是有事实依据和法律依据的。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根据《公司法》</w:t>
      </w:r>
      <w:bookmarkStart w:id="0" w:name="169"/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第一百六十九条</w:t>
      </w:r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之规定：“公司的公积金用于弥补公司的亏损、扩大公司生产经营或者转为增加公司资本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。但是，资本公积金不得用于弥补公司的亏损。 ”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资本公积金是一种可以按照法定程序转为资本金的公积金，也可说是一种准资本金，是企业所有者权益的组成部分。法定财产重估增值及股东垫款，均属于资本公积的来源，如本案H公司原三位股东的增资就属于这种情形。被告在答辩状称：“.........在2006年到2007年时间段，H公司所建电站一直处于修建状态，并未投入使用也未有盈利，H公司的资产也不能通过转入资本公积来变为........”，这一说法过于片面，按照《公司法》第一百六十七条之规定，公司可以在税后利润中提前一定的比例作为公积金，这部分公积金也可以根据《公司法》第一百六十九条 之规定转为增加公司资本，但被告将公积金来源局限于盈</w:t>
      </w:r>
      <w:bookmarkStart w:id="2" w:name="_GoBack"/>
      <w:bookmarkEnd w:id="2"/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余公积，是对公司法的片面理解。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庭审过程中，被告代理人认为没有纳税凭证，不能证明公积金的来源合法。本代理人认为，公积金分为盈余公积和资本公司，盈余公积应该缴纳税款后才可以作为股东出资，但本案股东的垫款和资产的增值属于资本公积，不需要纳税就可以作为股东出资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庭审过程中，被告代理人针对甘J会验字（2006）006号《验资报告》提出质疑意见，称既然L公司主张属于重复出资，为什么甘J会验字（2006）006号《验资报告》没有查验出重复出资问题。本代理人认为，甘J会验字（2006）006号《验资报告》出具的时间是2006年8月10日，而L公司转入165万元资本金的时间分别是：2008年1月18日转入65万元，2008年1月31日转入60万，2008年2月14日转入40万。甘J会验字（2006）006号《验资报告》出具的时间在先，是不可能查验出重复出资的。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增资至1200万元，H公司原三股东履行了程序义务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被告在答辩状中称，‘......即使可以转增股本，但须经过法定从程序进行转增，但这些程序都没有’。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对本次增资，H公司原三股东依法履行了全部程序，包括内部程序和外部程序，这些内容在起诉状有详细叙述，再转述如下：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针对上述出资，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H公司</w:t>
      </w:r>
      <w:r>
        <w:rPr>
          <w:rFonts w:hint="eastAsia" w:ascii="楷体" w:hAnsi="楷体" w:eastAsia="楷体" w:cs="楷体"/>
          <w:sz w:val="28"/>
          <w:szCs w:val="28"/>
        </w:rPr>
        <w:t>依法履行了内部决策程序。2006年8月6日，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H公司</w:t>
      </w:r>
      <w:r>
        <w:rPr>
          <w:rFonts w:hint="eastAsia" w:ascii="楷体" w:hAnsi="楷体" w:eastAsia="楷体" w:cs="楷体"/>
          <w:sz w:val="28"/>
          <w:szCs w:val="28"/>
        </w:rPr>
        <w:t>三个股东即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N公司</w:t>
      </w:r>
      <w:r>
        <w:rPr>
          <w:rFonts w:hint="eastAsia" w:ascii="楷体" w:hAnsi="楷体" w:eastAsia="楷体" w:cs="楷体"/>
          <w:sz w:val="28"/>
          <w:szCs w:val="28"/>
        </w:rPr>
        <w:t>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D公司</w:t>
      </w:r>
      <w:r>
        <w:rPr>
          <w:rFonts w:hint="eastAsia" w:ascii="楷体" w:hAnsi="楷体" w:eastAsia="楷体" w:cs="楷体"/>
          <w:sz w:val="28"/>
          <w:szCs w:val="28"/>
        </w:rPr>
        <w:t>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L公司</w:t>
      </w:r>
      <w:r>
        <w:rPr>
          <w:rFonts w:hint="eastAsia" w:ascii="楷体" w:hAnsi="楷体" w:eastAsia="楷体" w:cs="楷体"/>
          <w:sz w:val="28"/>
          <w:szCs w:val="28"/>
        </w:rPr>
        <w:t>通过了《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L市H有限责任公司</w:t>
      </w:r>
      <w:r>
        <w:rPr>
          <w:rFonts w:hint="eastAsia" w:ascii="楷体" w:hAnsi="楷体" w:eastAsia="楷体" w:cs="楷体"/>
          <w:sz w:val="28"/>
          <w:szCs w:val="28"/>
        </w:rPr>
        <w:t>关于章程修正案的决议》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见证据第14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、《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L市H有限责任公司</w:t>
      </w:r>
      <w:r>
        <w:rPr>
          <w:rFonts w:hint="eastAsia" w:ascii="楷体" w:hAnsi="楷体" w:eastAsia="楷体" w:cs="楷体"/>
          <w:sz w:val="28"/>
          <w:szCs w:val="28"/>
        </w:rPr>
        <w:t>股东会关于增加注册资本的决议》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见证据第15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、《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L市H有限责任公司</w:t>
      </w:r>
      <w:r>
        <w:rPr>
          <w:rFonts w:hint="eastAsia" w:ascii="楷体" w:hAnsi="楷体" w:eastAsia="楷体" w:cs="楷体"/>
          <w:sz w:val="28"/>
          <w:szCs w:val="28"/>
        </w:rPr>
        <w:t>股东会关于增资、出资额的决议》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见证据第16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。本次出资，也履行了工商备案程序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见证据第18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。2007年11月5日，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T公司</w:t>
      </w:r>
      <w:r>
        <w:rPr>
          <w:rFonts w:hint="eastAsia" w:ascii="楷体" w:hAnsi="楷体" w:eastAsia="楷体" w:cs="楷体"/>
          <w:sz w:val="28"/>
          <w:szCs w:val="28"/>
        </w:rPr>
        <w:t>法定代表人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白某奎</w:t>
      </w:r>
      <w:r>
        <w:rPr>
          <w:rFonts w:hint="eastAsia" w:ascii="楷体" w:hAnsi="楷体" w:eastAsia="楷体" w:cs="楷体"/>
          <w:sz w:val="28"/>
          <w:szCs w:val="28"/>
        </w:rPr>
        <w:t>入职为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H公司</w:t>
      </w:r>
      <w:r>
        <w:rPr>
          <w:rFonts w:hint="eastAsia" w:ascii="楷体" w:hAnsi="楷体" w:eastAsia="楷体" w:cs="楷体"/>
          <w:sz w:val="28"/>
          <w:szCs w:val="28"/>
        </w:rPr>
        <w:t>法定代表人，任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H公司</w:t>
      </w:r>
      <w:r>
        <w:rPr>
          <w:rFonts w:hint="eastAsia" w:ascii="楷体" w:hAnsi="楷体" w:eastAsia="楷体" w:cs="楷体"/>
          <w:sz w:val="28"/>
          <w:szCs w:val="28"/>
        </w:rPr>
        <w:t>董事长之职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见证据第17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）”</w:t>
      </w:r>
    </w:p>
    <w:p>
      <w:pPr>
        <w:numPr>
          <w:ilvl w:val="0"/>
          <w:numId w:val="3"/>
        </w:num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在H公司1200万元注册资本阶段，股东L公司也履行了出资义务。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1.L公司将180万元作为借款给H公司使用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如前所述，正因为H公司1200万元的增资是真实的、合法的，所以，股权受让方T公司才支付了600万元股权转让款，这里面也包括应该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支付给L公司的180万股权转让款。当时是因为考虑到H公司新庄项目有资金缺口，原三位股东将股权转让款借给H公司使用，因此，H公司2008年1月3日的《记账凭证》将原三家股东的股权转让款列为‘其他应付款’，这其中就包括了H公司欠L公司的180万元，这充分证明了H公司的出资是充分的，也表明了T公司对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前述《评估报告》和《验资报告》是承认的。如果不是新庄电站缺少资金，600万元的股权转入款早就被原三股东使用了，或者说，按照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2007年10月19日签订的《补充协议书》，由H公司申请贷款归还了原三股东对H公司的600万借款，争议也不会发生的。</w:t>
      </w:r>
    </w:p>
    <w:p>
      <w:pPr>
        <w:numPr>
          <w:ilvl w:val="0"/>
          <w:numId w:val="4"/>
        </w:num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关于M会计师事务所出具的《审计报告》效力问题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庭审过程中，被告出具M会计师事务所出具的《审计报告》来质疑前述《评估报告》的真实性，本代理人认为，这是没有法律依据，也违反约定的。</w:t>
      </w:r>
    </w:p>
    <w:p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《股权转让协议》第五.3条规定：“本协议签订后，四方应共同委托会计师事务所，以合同签订日为基准日，对H公司的财务状况进行审计，明确合同签订日前后的资产状况及债务情况，审计报告作为本合同的附件”。根据约定，2008年4月25日，H公司聘请了G省横元会计师事务有限公司对公司财务状况进行了审计，该所出具甘横会审字（2008）第049号《审计报告》。甘横会审字（2008）第049号《审计报告》出具时，白某奎已经担任了H公司的法定代表人，对公司资产状况是知情的。经审计，H公司并不存在出资不实情况。至于庭审过程中，被告代理人称，白某奎接受H公司相关资料是在2014年，所以，白某奎对公司不知情。本代理人认为，接受资料和白某奎担任法定代表人完全属于两回事，白既然担任了法定代表人就应该知情，也有权利和义务知情，另外，T公司系H公司第一大股东，具有控股地位，白某奎对H公司事实上也完全掌控，每次股东会上都表现得非常强势，称不知情纯属否定公司有效商事行为的托辞而已，不构成否定《评估报告》、《验资报告》及《审计报告》的理由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时隔多年后，T公司和白某奎又私自聘请会计师事务所对H公司进行审计。根据《公司法》</w:t>
      </w:r>
      <w:bookmarkStart w:id="1" w:name="17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第一百七十条</w:t>
      </w:r>
      <w:bookmarkEnd w:id="1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之规定：“公司聘用、解聘承办公司审计业务的会计师事务所，依照公司章程的规定，由股东会、股东大会或者董事会决定”，因此，T公司私自聘请会计师事务所做出的《审计报告》是没有法律效力的，其滥用了股东权利，损害了其他股东的权益，也损害了公司的利益，违背了股东的忠诚义务。另外，M会计师事务所和T公司及白某奎之间到底是什么关系，在已经产生争议的情况下，能否保持中立立场是值得怀疑的。经历了这么长的时间，公司的资产状况发生了很大的变化，从客观上来说，已经完全不具备对2006年7月31日这个时点资产状况进行审计的条件，因此，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M会计师事务所出具的《审计报告》应该不予采信。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3.关于《股权转让协议书》第三.1条款及《承诺书》问题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关于《股权转让协议书》第三.1条款及《承诺书》签订的背景，起诉状中已经述及，本代理人认为，事实的最终确定要综合全案证据加以判断，不能仅凭某一份证据来确定。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L公司确实多次作出不利于己方的意思表示，但这只是2007年《股权转让协议》中不符合事实状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况的一个延续而已，龚某河作出这样的意思表示时根本就没有想到T公司会起诉，当时认为，反正H公司会贷款返还股东的借款，也认为T公司白某奎对入股时的情况是心知肚明的，就按照白的意思出具了《借条》和《承诺》，但出具借条不是无因行为，需要综合其他证据来判定其形成的原因，是否和其他证据相抵触。这种充满矛盾的地方也同样存在于T公司，如：一方面不承认L公司真实出资，但另一方又将应该属于原三个股东600万元股权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转让款转给H公司用于经营，这其中就包括L公司的180万股权转让款；一方面在《股权转让协议》中说L公司出资不实，但在双方股权转让协议中又没有提及，而是按照出资真实的状况签订双方协议；一方面认为其他股东出资真实，而L公司不真实，但原三股东依据的就是同一份《评估报告》，还有，如果165万元只是L公司向H公司的借款，T公司为什么时隔10年才起诉？这期间，T公司并没有要求L公司和龚某河还款，这完全有悖常理。</w:t>
      </w:r>
    </w:p>
    <w:p>
      <w:pPr>
        <w:numPr>
          <w:ilvl w:val="0"/>
          <w:numId w:val="0"/>
        </w:numPr>
        <w:ind w:firstLine="840" w:firstLineChars="300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考虑到本案矛盾重重，现将原被告双方证据比较如下：</w:t>
      </w:r>
    </w:p>
    <w:p>
      <w:pPr>
        <w:numPr>
          <w:ilvl w:val="0"/>
          <w:numId w:val="0"/>
        </w:numPr>
        <w:ind w:firstLine="560"/>
        <w:jc w:val="center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tbl>
      <w:tblPr>
        <w:tblStyle w:val="6"/>
        <w:tblpPr w:leftFromText="180" w:rightFromText="180" w:vertAnchor="text" w:horzAnchor="page" w:tblpX="1649" w:tblpY="133"/>
        <w:tblOverlap w:val="never"/>
        <w:tblW w:w="9344" w:type="dxa"/>
        <w:tblInd w:w="0" w:type="dxa"/>
        <w:tblBorders>
          <w:top w:val="thinThickSmallGap" w:color="auto" w:sz="24" w:space="0"/>
          <w:left w:val="single" w:color="auto" w:sz="4" w:space="0"/>
          <w:bottom w:val="thinThickSmall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109"/>
        <w:gridCol w:w="669"/>
        <w:gridCol w:w="4917"/>
      </w:tblGrid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  <w:shd w:val="clear" w:color="auto" w:fill="A5A5A5" w:themeFill="accent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5A5A5" w:themeFill="accent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  <w:t>被告提供的证据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5A5A5" w:themeFill="accent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17" w:type="dxa"/>
            <w:tcBorders>
              <w:tl2br w:val="nil"/>
              <w:tr2bl w:val="nil"/>
            </w:tcBorders>
            <w:shd w:val="clear" w:color="auto" w:fill="A5A5A5" w:themeFill="accent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原告提供的证据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T公司、L公司、N公司、D公司签订的《股权转让协议书》</w:t>
            </w: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兰同验（2004）第285号《验资报告》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L公司向T公司借款的《借款协议书》</w:t>
            </w: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注册资本实收情况明细表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L公司的《承诺书》</w:t>
            </w: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验资事项说明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M会计师事务所的《审计报告》</w:t>
            </w: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G省J会计师事务所于2006年8月10日出具甘J会验字（2006）006号《验资报告》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甘中信评字（2006）第060号《L市H有限责任公司整体资产评估报告书》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《L市H有限责任公司关于章程修正案的决议》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《L市H有限责任公司股东会关于增加注册资本的决议》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《L市H有限责任公司股东会关于增资、出资额的决议》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《L市H有限责任公司（企业）工商信息表》（注册资本1200万）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《股权转让协议》（L公司和T公司单独签订）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《补充协议》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L市H有限责任公司2007年度第六次股东会决议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L市H有限责任公司关于章程修正案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H公司将L公司180万元股权转让款列为‘其他应付款的’记账凭证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2008年4月25日，G省横元会计师事务有限公司出具甘横会审字（2008）第049号《审计报告》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H公司2017年第一次股东会会议纪要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《申请尽快解决以下遗留问题》</w:t>
            </w:r>
          </w:p>
        </w:tc>
      </w:tr>
      <w:tr>
        <w:tblPrEx>
          <w:tblBorders>
            <w:top w:val="thinThickSmallGap" w:color="auto" w:sz="24" w:space="0"/>
            <w:left w:val="single" w:color="auto" w:sz="4" w:space="0"/>
            <w:bottom w:val="thinThickSmall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91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《L市H水电开发有限公司2016年第二次股东会议纪要》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综上，就证据而言，代理意见如下：</w:t>
      </w:r>
    </w:p>
    <w:p>
      <w:pPr>
        <w:numPr>
          <w:ilvl w:val="0"/>
          <w:numId w:val="5"/>
        </w:num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原告提供的证据数量多，证据间能互相印证。</w:t>
      </w:r>
    </w:p>
    <w:p>
      <w:pPr>
        <w:numPr>
          <w:ilvl w:val="0"/>
          <w:numId w:val="5"/>
        </w:num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H公司聘请的会计师事务所和评估事务所具有合法的主体资格，程序合法，没有任何法律上的瑕疵，被告也没有提出否定《评估报告》和《验资报告》等公文书证的事实理由和法律理由。而被告提出的M会计师事务所的《审计报告》合法性存疑，不足以证明H公司原三股东用来出资的《评估报告》和《验资报告》虚假。</w:t>
      </w:r>
    </w:p>
    <w:p>
      <w:pPr>
        <w:numPr>
          <w:ilvl w:val="0"/>
          <w:numId w:val="5"/>
        </w:num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原告提供的证据1、2、3、4、5、9、15属于社会团体依职权制作的公文书证，其证明力大于被告证据1、2、3。</w:t>
      </w:r>
    </w:p>
    <w:p>
      <w:pPr>
        <w:numPr>
          <w:ilvl w:val="0"/>
          <w:numId w:val="5"/>
        </w:num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原告提供的《评估报告》、《验资报告》、《营业执照》、《章程修正案》、《股东会决议》等都经过了工商局的登记和备案，属于档案类的书证，证明效力也优于被告提供的书证。</w:t>
      </w:r>
    </w:p>
    <w:p>
      <w:pPr>
        <w:numPr>
          <w:ilvl w:val="0"/>
          <w:numId w:val="5"/>
        </w:numPr>
        <w:jc w:val="both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被告主张的《股权转让协议书》和《承诺书》本身就充满了矛盾的条款，对于H公司的注册资本是否充实问题，H公司原三股东用来出资的《评估报告》和《验资报告》要么真，要么假，不可能一方面承认N公司和D公司出资真实，一方面又认为L公司出资不实。</w:t>
      </w:r>
    </w:p>
    <w:p>
      <w:pPr>
        <w:numPr>
          <w:ilvl w:val="0"/>
          <w:numId w:val="5"/>
        </w:num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H公司原三股东和T公司签订的《股权转让协议》中称L公司出资不实，但原告与被告签订的《股权转让协议》又称，“甲方同意将其持有的L市H水电开发有限公司15%的股权以180万元转让给乙方”，双方约定具体，明确，而且双方签订《股权转让协议》时间在四方签的《股权转让协议》之后，后一意思表示优于前一意思表示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（七）从日常生活经验法则来看，被告行为有违常理。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《最高人民法院关于民事诉讼证据的若干规定》相关条款规定如下：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第六十六条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审判人员对案件的全部证据，应当从各证据与案件事实的关联程度、各证据之间的联系等方面进行综合审查判断。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”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第七十七条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人民法院就数个证据对同一事实的证明力可以依照下列原则认定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(一)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国家机关、</w:t>
      </w:r>
      <w:r>
        <w:rPr>
          <w:rFonts w:hint="eastAsia" w:ascii="楷体" w:hAnsi="楷体" w:eastAsia="楷体" w:cs="楷体"/>
          <w:sz w:val="28"/>
          <w:szCs w:val="28"/>
          <w:u w:val="thick"/>
        </w:rPr>
        <w:t>社会团体依职权制作的公文书证的证明力</w:t>
      </w:r>
      <w:r>
        <w:rPr>
          <w:rFonts w:hint="eastAsia" w:ascii="楷体" w:hAnsi="楷体" w:eastAsia="楷体" w:cs="楷体"/>
          <w:sz w:val="28"/>
          <w:szCs w:val="28"/>
        </w:rPr>
        <w:t>一般大于其他书证；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(二)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物证、</w:t>
      </w:r>
      <w:r>
        <w:rPr>
          <w:rFonts w:hint="eastAsia" w:ascii="楷体" w:hAnsi="楷体" w:eastAsia="楷体" w:cs="楷体"/>
          <w:sz w:val="28"/>
          <w:szCs w:val="28"/>
          <w:u w:val="thick"/>
        </w:rPr>
        <w:t>档案、</w:t>
      </w:r>
      <w:r>
        <w:rPr>
          <w:rFonts w:hint="eastAsia" w:ascii="楷体" w:hAnsi="楷体" w:eastAsia="楷体" w:cs="楷体"/>
          <w:sz w:val="28"/>
          <w:szCs w:val="28"/>
        </w:rPr>
        <w:t>鉴定结论、勘验笔录或者经过公证、</w:t>
      </w:r>
      <w:r>
        <w:rPr>
          <w:rFonts w:hint="eastAsia" w:ascii="楷体" w:hAnsi="楷体" w:eastAsia="楷体" w:cs="楷体"/>
          <w:sz w:val="28"/>
          <w:szCs w:val="28"/>
          <w:u w:val="thick"/>
        </w:rPr>
        <w:t>登记的书证其证明力一般大于其他书证</w:t>
      </w:r>
      <w:r>
        <w:rPr>
          <w:rFonts w:hint="eastAsia" w:ascii="楷体" w:hAnsi="楷体" w:eastAsia="楷体" w:cs="楷体"/>
          <w:sz w:val="28"/>
          <w:szCs w:val="28"/>
        </w:rPr>
        <w:t>、视听资料和证人证言；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(三)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原始证据的证明力一般大于传来证据；</w:t>
      </w:r>
    </w:p>
    <w:p>
      <w:pPr>
        <w:numPr>
          <w:ilvl w:val="0"/>
          <w:numId w:val="6"/>
        </w:numPr>
        <w:ind w:firstLine="56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直接证据的证明力一般大于间接证据；</w:t>
      </w:r>
    </w:p>
    <w:p>
      <w:pPr>
        <w:numPr>
          <w:ilvl w:val="0"/>
          <w:numId w:val="6"/>
        </w:numPr>
        <w:ind w:firstLine="560" w:firstLineChars="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证人提供的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sz w:val="28"/>
          <w:szCs w:val="28"/>
        </w:rPr>
        <w:t>其有亲属或者其他密切关系的当事人有利的证言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其证明力一般小于其他证人证言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</w:t>
      </w:r>
    </w:p>
    <w:p>
      <w:pPr>
        <w:numPr>
          <w:ilvl w:val="0"/>
          <w:numId w:val="7"/>
        </w:num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关于重复出资问题。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L公司的履行了股东出资义务，出资金额为360万，但因为前述原因，T公司时隔十年之后以借款纠纷起诉L公司及龚某河，致使L公司及龚某河支付T公司165万和利息80万元。目前L公司拥有的H公司15%的股权事实出资了两次：一次是依据评估报告进行的出资，而是按照T公司的要求将165万元加上H公司应支付给L公司的15万元报销款共180万的出资，重复出资金额应为180万元。至于L公司转让给T公司的15%股权，转让款180万元，又以借支的形式给了H公司用于经营，H公司也以其他应付款形式计入会计科目，这属于H公司对L公司的负债，L公司保留进一步的追溯权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综上，请求法庭充分考虑代理意见，支持原告的诉讼请求，维护原告合法权益。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代理人：袁开明</w:t>
      </w:r>
    </w:p>
    <w:p>
      <w:pPr>
        <w:numPr>
          <w:ilvl w:val="0"/>
          <w:numId w:val="0"/>
        </w:numPr>
        <w:ind w:firstLine="560"/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江西H律师事务所</w:t>
      </w:r>
    </w:p>
    <w:p>
      <w:pPr>
        <w:numPr>
          <w:ilvl w:val="0"/>
          <w:numId w:val="0"/>
        </w:numPr>
        <w:wordWrap w:val="0"/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lang w:val="en-US" w:eastAsia="zh-CN"/>
        </w:rPr>
        <w:t>2017年  月  日</w:t>
      </w: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381C"/>
    <w:multiLevelType w:val="singleLevel"/>
    <w:tmpl w:val="59DC381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F08411"/>
    <w:multiLevelType w:val="singleLevel"/>
    <w:tmpl w:val="59F084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F1ACE9"/>
    <w:multiLevelType w:val="singleLevel"/>
    <w:tmpl w:val="59F1ACE9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9F30F53"/>
    <w:multiLevelType w:val="singleLevel"/>
    <w:tmpl w:val="59F30F5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9F40669"/>
    <w:multiLevelType w:val="singleLevel"/>
    <w:tmpl w:val="59F40669"/>
    <w:lvl w:ilvl="0" w:tentative="0">
      <w:start w:val="4"/>
      <w:numFmt w:val="chineseCounting"/>
      <w:lvlText w:val="(%1)"/>
      <w:lvlJc w:val="left"/>
      <w:pPr>
        <w:tabs>
          <w:tab w:val="left" w:pos="312"/>
        </w:tabs>
      </w:pPr>
    </w:lvl>
  </w:abstractNum>
  <w:abstractNum w:abstractNumId="5">
    <w:nsid w:val="59F42F4B"/>
    <w:multiLevelType w:val="singleLevel"/>
    <w:tmpl w:val="59F42F4B"/>
    <w:lvl w:ilvl="0" w:tentative="0">
      <w:start w:val="1"/>
      <w:numFmt w:val="chineseCounting"/>
      <w:suff w:val="nothing"/>
      <w:lvlText w:val="（%1）"/>
      <w:lvlJc w:val="left"/>
    </w:lvl>
  </w:abstractNum>
  <w:abstractNum w:abstractNumId="6">
    <w:nsid w:val="5A2941DE"/>
    <w:multiLevelType w:val="singleLevel"/>
    <w:tmpl w:val="5A2941DE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BDF"/>
    <w:rsid w:val="012106F6"/>
    <w:rsid w:val="016F57C1"/>
    <w:rsid w:val="019E4C4F"/>
    <w:rsid w:val="03076125"/>
    <w:rsid w:val="032C1CB1"/>
    <w:rsid w:val="038637BA"/>
    <w:rsid w:val="03E650D2"/>
    <w:rsid w:val="049C642C"/>
    <w:rsid w:val="04C271E7"/>
    <w:rsid w:val="054932C9"/>
    <w:rsid w:val="05926B82"/>
    <w:rsid w:val="059F70C7"/>
    <w:rsid w:val="05FC2364"/>
    <w:rsid w:val="06490272"/>
    <w:rsid w:val="066578C2"/>
    <w:rsid w:val="06DD64DD"/>
    <w:rsid w:val="07BF5574"/>
    <w:rsid w:val="07C40B82"/>
    <w:rsid w:val="08377FE7"/>
    <w:rsid w:val="086D1CF5"/>
    <w:rsid w:val="088A3687"/>
    <w:rsid w:val="0A1223BF"/>
    <w:rsid w:val="0A2B421B"/>
    <w:rsid w:val="0AD26546"/>
    <w:rsid w:val="0B171587"/>
    <w:rsid w:val="0DCB74BF"/>
    <w:rsid w:val="0DED0B4D"/>
    <w:rsid w:val="0EA943E8"/>
    <w:rsid w:val="0ECA10C2"/>
    <w:rsid w:val="0F0D63BE"/>
    <w:rsid w:val="10A308B7"/>
    <w:rsid w:val="10E03E56"/>
    <w:rsid w:val="11183811"/>
    <w:rsid w:val="112976AB"/>
    <w:rsid w:val="11622588"/>
    <w:rsid w:val="11A13F0E"/>
    <w:rsid w:val="11EB0D75"/>
    <w:rsid w:val="139A5AAB"/>
    <w:rsid w:val="14005C68"/>
    <w:rsid w:val="1436782C"/>
    <w:rsid w:val="15365FB3"/>
    <w:rsid w:val="154C00FC"/>
    <w:rsid w:val="15AD71F9"/>
    <w:rsid w:val="16470079"/>
    <w:rsid w:val="167E53C0"/>
    <w:rsid w:val="16BC074B"/>
    <w:rsid w:val="17010518"/>
    <w:rsid w:val="173D3421"/>
    <w:rsid w:val="174E53FC"/>
    <w:rsid w:val="174F697F"/>
    <w:rsid w:val="176C45D7"/>
    <w:rsid w:val="177530E4"/>
    <w:rsid w:val="19664D56"/>
    <w:rsid w:val="19822CEE"/>
    <w:rsid w:val="1A316B64"/>
    <w:rsid w:val="1A831ED4"/>
    <w:rsid w:val="1A881FAD"/>
    <w:rsid w:val="1AC0657C"/>
    <w:rsid w:val="1B233236"/>
    <w:rsid w:val="1B491BBC"/>
    <w:rsid w:val="1B6C4C08"/>
    <w:rsid w:val="1B865AE9"/>
    <w:rsid w:val="1B9215D0"/>
    <w:rsid w:val="1C1C5868"/>
    <w:rsid w:val="1C8D1A50"/>
    <w:rsid w:val="1CA34393"/>
    <w:rsid w:val="1D8B20DC"/>
    <w:rsid w:val="1DCE551E"/>
    <w:rsid w:val="1E3C6083"/>
    <w:rsid w:val="1E7A3C1D"/>
    <w:rsid w:val="1F4E3D56"/>
    <w:rsid w:val="1F50587E"/>
    <w:rsid w:val="212D52DE"/>
    <w:rsid w:val="214C79E0"/>
    <w:rsid w:val="214D5F24"/>
    <w:rsid w:val="2193375D"/>
    <w:rsid w:val="21C13CC8"/>
    <w:rsid w:val="22972B49"/>
    <w:rsid w:val="22C21288"/>
    <w:rsid w:val="22C92E45"/>
    <w:rsid w:val="23237F5A"/>
    <w:rsid w:val="236B7F58"/>
    <w:rsid w:val="25C60884"/>
    <w:rsid w:val="25CB2080"/>
    <w:rsid w:val="26007339"/>
    <w:rsid w:val="26E63C54"/>
    <w:rsid w:val="26F53A95"/>
    <w:rsid w:val="27EA7B2F"/>
    <w:rsid w:val="28664A8D"/>
    <w:rsid w:val="287250C0"/>
    <w:rsid w:val="288F0C78"/>
    <w:rsid w:val="28AE5543"/>
    <w:rsid w:val="292C7FE4"/>
    <w:rsid w:val="29307979"/>
    <w:rsid w:val="29581A44"/>
    <w:rsid w:val="29F0606F"/>
    <w:rsid w:val="2A2E4E32"/>
    <w:rsid w:val="2A3B2CE3"/>
    <w:rsid w:val="2A712F03"/>
    <w:rsid w:val="2AC851C1"/>
    <w:rsid w:val="2B900314"/>
    <w:rsid w:val="2C523064"/>
    <w:rsid w:val="2C716367"/>
    <w:rsid w:val="2C782267"/>
    <w:rsid w:val="2CA53B5C"/>
    <w:rsid w:val="2DB34C16"/>
    <w:rsid w:val="2E690058"/>
    <w:rsid w:val="2EA056F2"/>
    <w:rsid w:val="2EF10BAE"/>
    <w:rsid w:val="2EF31C2B"/>
    <w:rsid w:val="2F9F4E2F"/>
    <w:rsid w:val="2FB90A23"/>
    <w:rsid w:val="2FD52C10"/>
    <w:rsid w:val="2FDA448B"/>
    <w:rsid w:val="3031395D"/>
    <w:rsid w:val="311A4630"/>
    <w:rsid w:val="31962A2D"/>
    <w:rsid w:val="319A47D6"/>
    <w:rsid w:val="31FA69A7"/>
    <w:rsid w:val="332A35BF"/>
    <w:rsid w:val="335F6ABD"/>
    <w:rsid w:val="33867CD7"/>
    <w:rsid w:val="33A347FC"/>
    <w:rsid w:val="340627F4"/>
    <w:rsid w:val="34D34386"/>
    <w:rsid w:val="34DA1410"/>
    <w:rsid w:val="3594765B"/>
    <w:rsid w:val="364A0838"/>
    <w:rsid w:val="36BB1BFC"/>
    <w:rsid w:val="374B59DF"/>
    <w:rsid w:val="37C00737"/>
    <w:rsid w:val="380241DF"/>
    <w:rsid w:val="380823FE"/>
    <w:rsid w:val="38B44556"/>
    <w:rsid w:val="39654263"/>
    <w:rsid w:val="39B91F57"/>
    <w:rsid w:val="39D10CB9"/>
    <w:rsid w:val="39DC62CF"/>
    <w:rsid w:val="39E128DE"/>
    <w:rsid w:val="3A156B3A"/>
    <w:rsid w:val="3ACA3A1B"/>
    <w:rsid w:val="3B971EDC"/>
    <w:rsid w:val="3CA33382"/>
    <w:rsid w:val="3DC20363"/>
    <w:rsid w:val="3E040881"/>
    <w:rsid w:val="3ECB3BEB"/>
    <w:rsid w:val="3F0C00ED"/>
    <w:rsid w:val="3F421D67"/>
    <w:rsid w:val="3FA574CB"/>
    <w:rsid w:val="3FD60E47"/>
    <w:rsid w:val="41815559"/>
    <w:rsid w:val="424B19A0"/>
    <w:rsid w:val="43697059"/>
    <w:rsid w:val="43EC5366"/>
    <w:rsid w:val="43F72D92"/>
    <w:rsid w:val="44B212B5"/>
    <w:rsid w:val="44F57ADA"/>
    <w:rsid w:val="4527003F"/>
    <w:rsid w:val="45304DAB"/>
    <w:rsid w:val="45BD3E95"/>
    <w:rsid w:val="469F73D9"/>
    <w:rsid w:val="46E532BB"/>
    <w:rsid w:val="475518B6"/>
    <w:rsid w:val="47795D00"/>
    <w:rsid w:val="47F3492A"/>
    <w:rsid w:val="48F054EC"/>
    <w:rsid w:val="49C45292"/>
    <w:rsid w:val="49F02A8E"/>
    <w:rsid w:val="4A393D6D"/>
    <w:rsid w:val="4A741D84"/>
    <w:rsid w:val="4ACD087F"/>
    <w:rsid w:val="4B0C07AC"/>
    <w:rsid w:val="4B595457"/>
    <w:rsid w:val="4BBA486F"/>
    <w:rsid w:val="4C083595"/>
    <w:rsid w:val="4C0C56A9"/>
    <w:rsid w:val="4C917945"/>
    <w:rsid w:val="4C9F2809"/>
    <w:rsid w:val="4DCD0F21"/>
    <w:rsid w:val="4EA03D27"/>
    <w:rsid w:val="4F00189C"/>
    <w:rsid w:val="4F8A5E6A"/>
    <w:rsid w:val="50310B6F"/>
    <w:rsid w:val="50AE0D2E"/>
    <w:rsid w:val="51063D00"/>
    <w:rsid w:val="51461CDE"/>
    <w:rsid w:val="51F132B6"/>
    <w:rsid w:val="52301106"/>
    <w:rsid w:val="52A95D75"/>
    <w:rsid w:val="52AC4E0C"/>
    <w:rsid w:val="53C04029"/>
    <w:rsid w:val="53FB5C8E"/>
    <w:rsid w:val="54357E88"/>
    <w:rsid w:val="54D204B0"/>
    <w:rsid w:val="55512EB8"/>
    <w:rsid w:val="555D6B19"/>
    <w:rsid w:val="55E11AE9"/>
    <w:rsid w:val="565178C9"/>
    <w:rsid w:val="566119B4"/>
    <w:rsid w:val="56835C8C"/>
    <w:rsid w:val="56BD6E67"/>
    <w:rsid w:val="573B0349"/>
    <w:rsid w:val="57541559"/>
    <w:rsid w:val="575778C5"/>
    <w:rsid w:val="57760D91"/>
    <w:rsid w:val="580557B9"/>
    <w:rsid w:val="582F4EF7"/>
    <w:rsid w:val="58D330B1"/>
    <w:rsid w:val="59702AA9"/>
    <w:rsid w:val="598B556F"/>
    <w:rsid w:val="59B115D5"/>
    <w:rsid w:val="59E32F6E"/>
    <w:rsid w:val="5A1804E6"/>
    <w:rsid w:val="5B2A0B3C"/>
    <w:rsid w:val="5B5A2564"/>
    <w:rsid w:val="5C333102"/>
    <w:rsid w:val="5C8B0BE7"/>
    <w:rsid w:val="5C9311C6"/>
    <w:rsid w:val="5DA7682D"/>
    <w:rsid w:val="5EF100FA"/>
    <w:rsid w:val="5F9C5A3E"/>
    <w:rsid w:val="604876AD"/>
    <w:rsid w:val="60F40749"/>
    <w:rsid w:val="614135A5"/>
    <w:rsid w:val="6162798F"/>
    <w:rsid w:val="618F2781"/>
    <w:rsid w:val="61AB0921"/>
    <w:rsid w:val="61B6626B"/>
    <w:rsid w:val="62094704"/>
    <w:rsid w:val="622F0293"/>
    <w:rsid w:val="62CA43B5"/>
    <w:rsid w:val="63516828"/>
    <w:rsid w:val="63BF2098"/>
    <w:rsid w:val="640F4AE8"/>
    <w:rsid w:val="64F56A14"/>
    <w:rsid w:val="65037A8D"/>
    <w:rsid w:val="65461D33"/>
    <w:rsid w:val="65724213"/>
    <w:rsid w:val="65A8451F"/>
    <w:rsid w:val="66930E6B"/>
    <w:rsid w:val="66B20A42"/>
    <w:rsid w:val="66B7335E"/>
    <w:rsid w:val="66F2523C"/>
    <w:rsid w:val="67D61987"/>
    <w:rsid w:val="680036CF"/>
    <w:rsid w:val="682B28D7"/>
    <w:rsid w:val="68976103"/>
    <w:rsid w:val="69CF732F"/>
    <w:rsid w:val="6A1A6FC1"/>
    <w:rsid w:val="6AD43835"/>
    <w:rsid w:val="6B1F0C10"/>
    <w:rsid w:val="6BB035E7"/>
    <w:rsid w:val="6C7C626B"/>
    <w:rsid w:val="6CDD52C8"/>
    <w:rsid w:val="6D442D84"/>
    <w:rsid w:val="6D7B316C"/>
    <w:rsid w:val="6D8902DB"/>
    <w:rsid w:val="6E3B6B0B"/>
    <w:rsid w:val="6E60416C"/>
    <w:rsid w:val="6FF72761"/>
    <w:rsid w:val="7031673E"/>
    <w:rsid w:val="703C77BB"/>
    <w:rsid w:val="704C4CD1"/>
    <w:rsid w:val="70D07434"/>
    <w:rsid w:val="71001770"/>
    <w:rsid w:val="711777E3"/>
    <w:rsid w:val="71B15813"/>
    <w:rsid w:val="71DE0176"/>
    <w:rsid w:val="71F774D4"/>
    <w:rsid w:val="720535D1"/>
    <w:rsid w:val="72434DFB"/>
    <w:rsid w:val="73D836E4"/>
    <w:rsid w:val="74F8588C"/>
    <w:rsid w:val="75691570"/>
    <w:rsid w:val="758D4311"/>
    <w:rsid w:val="75976DB0"/>
    <w:rsid w:val="76775A12"/>
    <w:rsid w:val="769E5E00"/>
    <w:rsid w:val="772231C7"/>
    <w:rsid w:val="77223EA5"/>
    <w:rsid w:val="789A2D0E"/>
    <w:rsid w:val="78B408A9"/>
    <w:rsid w:val="78B81923"/>
    <w:rsid w:val="78F13A7B"/>
    <w:rsid w:val="794A43A5"/>
    <w:rsid w:val="79E944B1"/>
    <w:rsid w:val="7A823740"/>
    <w:rsid w:val="7B674891"/>
    <w:rsid w:val="7B6C5880"/>
    <w:rsid w:val="7BA20223"/>
    <w:rsid w:val="7BA22E3F"/>
    <w:rsid w:val="7BA67670"/>
    <w:rsid w:val="7BA74AD2"/>
    <w:rsid w:val="7BAC02B0"/>
    <w:rsid w:val="7BEB5535"/>
    <w:rsid w:val="7C2B2371"/>
    <w:rsid w:val="7CA44A8D"/>
    <w:rsid w:val="7CC66E61"/>
    <w:rsid w:val="7D4B79D0"/>
    <w:rsid w:val="7D8072BB"/>
    <w:rsid w:val="7D8D3B7F"/>
    <w:rsid w:val="7DBC51EF"/>
    <w:rsid w:val="7DBD0910"/>
    <w:rsid w:val="7DE837BD"/>
    <w:rsid w:val="7E054C14"/>
    <w:rsid w:val="7E397DBE"/>
    <w:rsid w:val="7ED551FD"/>
    <w:rsid w:val="7ED64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yuankaiming</dc:creator>
  <cp:lastModifiedBy>沙漠之舟：袁律</cp:lastModifiedBy>
  <dcterms:modified xsi:type="dcterms:W3CDTF">2021-03-23T09:09:47Z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