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民事起诉状</w:t>
      </w:r>
    </w:p>
    <w:p>
      <w:pPr>
        <w:jc w:val="center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</w:p>
    <w:p>
      <w:pPr>
        <w:jc w:val="left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原告：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牛某年，男，汉族，1974年10月16日出生，住址：J省N市G区五华路45号2区6栋3单元3楼3户，身份证号码：36010219741016****。</w:t>
      </w:r>
    </w:p>
    <w:p>
      <w:pPr>
        <w:jc w:val="left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被告一：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J省M有限公司，注册号：36010021013****，法定代表人：凌某瑶，住所：J省N市G区高新一路，联系方式：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1882015****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</w:p>
    <w:p>
      <w:pPr>
        <w:jc w:val="left"/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被告二：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N市F科技有限公司，注册号：91360108563898****，法定代表人：华某雄，住所：J省X区五湖路，联系方式：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8719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5**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。</w:t>
      </w:r>
    </w:p>
    <w:p>
      <w:pPr>
        <w:jc w:val="left"/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</w:pPr>
    </w:p>
    <w:p>
      <w:pPr>
        <w:jc w:val="left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诉讼请求：</w:t>
      </w:r>
    </w:p>
    <w:p>
      <w:pPr>
        <w:numPr>
          <w:ilvl w:val="0"/>
          <w:numId w:val="1"/>
        </w:numPr>
        <w:jc w:val="left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请求法院责令两被告支付120急救费用和住院治疗期间的床位费、护理费、化验费、检查费、手术费、西药费和治疗费等医疗费用共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94333.1元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；</w:t>
      </w:r>
    </w:p>
    <w:p>
      <w:pPr>
        <w:numPr>
          <w:ilvl w:val="0"/>
          <w:numId w:val="1"/>
        </w:numPr>
        <w:jc w:val="left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请求法院责令两被告支付住院伙食补助费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2,400元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；</w:t>
      </w:r>
    </w:p>
    <w:p>
      <w:pPr>
        <w:numPr>
          <w:ilvl w:val="0"/>
          <w:numId w:val="1"/>
        </w:numPr>
        <w:jc w:val="left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请求法院责令两被告支付出院后的医药费和检查费共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1,998.46元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（截止2016年4月25日）；</w:t>
      </w:r>
    </w:p>
    <w:p>
      <w:pPr>
        <w:numPr>
          <w:ilvl w:val="0"/>
          <w:numId w:val="1"/>
        </w:numPr>
        <w:jc w:val="left"/>
        <w:rPr>
          <w:rFonts w:hint="eastAsia" w:ascii="楷体" w:hAnsi="楷体" w:eastAsia="楷体" w:cs="楷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highlight w:val="none"/>
          <w:lang w:val="en-US" w:eastAsia="zh-CN"/>
        </w:rPr>
        <w:t>请求法院责令两被告支付误工费</w:t>
      </w:r>
      <w:r>
        <w:rPr>
          <w:rFonts w:hint="eastAsia" w:ascii="楷体" w:hAnsi="楷体" w:eastAsia="楷体" w:cs="楷体"/>
          <w:b/>
          <w:bCs/>
          <w:sz w:val="28"/>
          <w:szCs w:val="28"/>
          <w:highlight w:val="none"/>
          <w:lang w:val="en-US" w:eastAsia="zh-CN"/>
        </w:rPr>
        <w:t>13,613.55元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highlight w:val="none"/>
          <w:lang w:val="en-US" w:eastAsia="zh-CN"/>
        </w:rPr>
        <w:t>；</w:t>
      </w:r>
    </w:p>
    <w:p>
      <w:pPr>
        <w:numPr>
          <w:ilvl w:val="0"/>
          <w:numId w:val="1"/>
        </w:numPr>
        <w:jc w:val="left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请求法院责令两被告支付必要营养费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4,700元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（截止2016年3月2日）；</w:t>
      </w:r>
    </w:p>
    <w:p>
      <w:pPr>
        <w:numPr>
          <w:ilvl w:val="0"/>
          <w:numId w:val="1"/>
        </w:numPr>
        <w:jc w:val="left"/>
        <w:rPr>
          <w:rFonts w:hint="eastAsia" w:ascii="楷体" w:hAnsi="楷体" w:eastAsia="楷体" w:cs="楷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highlight w:val="none"/>
          <w:lang w:val="en-US" w:eastAsia="zh-CN"/>
        </w:rPr>
        <w:t>请求法院责令两被告支付伤残鉴定费和残疾赔偿金共</w:t>
      </w: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576,660元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>
      <w:pPr>
        <w:numPr>
          <w:ilvl w:val="0"/>
          <w:numId w:val="1"/>
        </w:numPr>
        <w:jc w:val="left"/>
        <w:rPr>
          <w:rFonts w:hint="eastAsia" w:ascii="楷体" w:hAnsi="楷体" w:eastAsia="楷体" w:cs="楷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highlight w:val="none"/>
          <w:lang w:val="en-US" w:eastAsia="zh-CN"/>
        </w:rPr>
        <w:t>请求法院责令两被告支付护理费</w:t>
      </w:r>
      <w:r>
        <w:rPr>
          <w:rFonts w:hint="eastAsia" w:ascii="楷体" w:hAnsi="楷体" w:eastAsia="楷体" w:cs="楷体"/>
          <w:b/>
          <w:bCs/>
          <w:sz w:val="28"/>
          <w:szCs w:val="28"/>
          <w:highlight w:val="none"/>
          <w:lang w:val="en-US" w:eastAsia="zh-CN"/>
        </w:rPr>
        <w:t>1,042,740元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highlight w:val="none"/>
          <w:lang w:val="en-US" w:eastAsia="zh-CN"/>
        </w:rPr>
        <w:t>；</w:t>
      </w:r>
      <w:bookmarkStart w:id="0" w:name="_GoBack"/>
      <w:bookmarkEnd w:id="0"/>
    </w:p>
    <w:p>
      <w:pPr>
        <w:numPr>
          <w:ilvl w:val="0"/>
          <w:numId w:val="1"/>
        </w:numPr>
        <w:jc w:val="left"/>
        <w:rPr>
          <w:rFonts w:hint="eastAsia" w:ascii="楷体" w:hAnsi="楷体" w:eastAsia="楷体" w:cs="楷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highlight w:val="none"/>
          <w:lang w:val="en-US" w:eastAsia="zh-CN"/>
        </w:rPr>
        <w:t>请求法院责令两被告支付后续治疗费</w:t>
      </w:r>
      <w:r>
        <w:rPr>
          <w:rFonts w:hint="eastAsia" w:ascii="楷体" w:hAnsi="楷体" w:eastAsia="楷体" w:cs="楷体"/>
          <w:b/>
          <w:bCs/>
          <w:sz w:val="28"/>
          <w:szCs w:val="28"/>
          <w:highlight w:val="none"/>
          <w:lang w:val="en-US" w:eastAsia="zh-CN"/>
        </w:rPr>
        <w:t>10,000元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highlight w:val="none"/>
          <w:lang w:val="en-US" w:eastAsia="zh-CN"/>
        </w:rPr>
        <w:t>；</w:t>
      </w:r>
    </w:p>
    <w:p>
      <w:pPr>
        <w:numPr>
          <w:ilvl w:val="0"/>
          <w:numId w:val="1"/>
        </w:numPr>
        <w:jc w:val="left"/>
        <w:rPr>
          <w:rFonts w:hint="eastAsia" w:ascii="楷体" w:hAnsi="楷体" w:eastAsia="楷体" w:cs="楷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highlight w:val="none"/>
          <w:lang w:val="en-US" w:eastAsia="zh-CN"/>
        </w:rPr>
        <w:t>请求法院责令两被告支付</w:t>
      </w:r>
      <w:r>
        <w:rPr>
          <w:rFonts w:hint="eastAsia" w:ascii="楷体" w:hAnsi="楷体" w:eastAsia="楷体" w:cs="楷体"/>
          <w:sz w:val="28"/>
          <w:szCs w:val="28"/>
          <w:highlight w:val="none"/>
        </w:rPr>
        <w:t>残疾辅助器具费</w:t>
      </w:r>
      <w:r>
        <w:rPr>
          <w:rFonts w:hint="eastAsia" w:ascii="楷体" w:hAnsi="楷体" w:eastAsia="楷体" w:cs="楷体"/>
          <w:b/>
          <w:bCs/>
          <w:sz w:val="28"/>
          <w:szCs w:val="28"/>
          <w:highlight w:val="none"/>
          <w:lang w:val="en-US" w:eastAsia="zh-CN"/>
        </w:rPr>
        <w:t>2,725元</w:t>
      </w:r>
      <w:r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  <w:t>（截止2017年4月20日）；</w:t>
      </w:r>
    </w:p>
    <w:p>
      <w:pPr>
        <w:numPr>
          <w:ilvl w:val="0"/>
          <w:numId w:val="1"/>
        </w:numPr>
        <w:jc w:val="left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请求法院责令两被告支付</w:t>
      </w:r>
      <w:r>
        <w:rPr>
          <w:rFonts w:hint="eastAsia" w:ascii="楷体" w:hAnsi="楷体" w:eastAsia="楷体" w:cs="楷体"/>
          <w:sz w:val="28"/>
          <w:szCs w:val="28"/>
        </w:rPr>
        <w:t>因康复护理、继续治疗实际发生的必要的康复费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7,600元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；</w:t>
      </w:r>
    </w:p>
    <w:p>
      <w:pPr>
        <w:numPr>
          <w:ilvl w:val="0"/>
          <w:numId w:val="1"/>
        </w:numPr>
        <w:jc w:val="left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请求法院责令两被告支付精神损害抚慰金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50,000元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；</w:t>
      </w:r>
    </w:p>
    <w:p>
      <w:pPr>
        <w:numPr>
          <w:ilvl w:val="0"/>
          <w:numId w:val="1"/>
        </w:numPr>
        <w:jc w:val="left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请求法院责令两被告承担本案的诉讼费用。</w:t>
      </w:r>
    </w:p>
    <w:p>
      <w:pPr>
        <w:numPr>
          <w:ilvl w:val="0"/>
          <w:numId w:val="0"/>
        </w:numPr>
        <w:jc w:val="left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事实和理由：</w:t>
      </w:r>
    </w:p>
    <w:p>
      <w:pPr>
        <w:numPr>
          <w:ilvl w:val="0"/>
          <w:numId w:val="0"/>
        </w:numPr>
        <w:ind w:firstLine="562"/>
        <w:jc w:val="left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2015年11月12日开始，被告一陆续雇佣李某俊、原告和彭某川等人到被告二的厂房进行弱电施工。2015年11月28日，李某俊、原告和彭某川到被告二的厂房进行弱电施工，照例由被告二的监理刘某国给李某俊、原告和彭某川等施工人员办理出入手续后带入施工厂区，并找到被告二的厂务廖伟，然后由其将李某俊、原告和彭某川等施工人员带入施工现场。当天，刘某国和廖伟在看到李某俊、原告和彭某川等施工人员进入二楼吊顶后离开了现场，当时二楼吊顶上堆放了很多风管，有2米多高。10点38分左右，原告脚下所踩的二楼吊顶的一块板子突然翻起，然后板子和人一起摔到了离二楼吊顶大约4米的二楼地面。看到这个情况后，李某俊立即给刘某国、廖伟和被告一的项目经理汪某华打电话，大概10点54分左右，李某俊、廖伟等人将原告抬到了F公司的车上，此时，原告下半身已经没有了知觉，腰部疼痛难忍。之后，李某俊拨打了120急救电话，大约11点30分左右，120急救车到达现场，现场施救以后立即将原告送往了N市大学第一附属医院救治，120急救费用是原告支付的。直至2015年12月14日办理出院手续，原告在一附医院治疗期间共花费床位费、护理费、化验费、检查费、手术费、西药费和治疗费等医疗费用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94063.1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元。2016年3月3日经J省N市司法鉴定中心的鉴定，原告为一级伤残，完全丧失劳动能力；后续治疗费用评定为10000元；需要大部分护理依赖。原告的妻子喻某某在原告出事前一直都在从事个体经营生意，原告出事后，她放弃生意专心照顾原告。原告出院后，喻某某于2016年1月到J省乐秋康复中心咨询康复护理计划，该康复中心以收取租金的方式提供给原告空气波压力治疗仪一台，以缓解原告下肢肌肉萎缩，此外，该康复中心还建议原告定期做物理按摩，以疏通经脉。自从原告被鉴定为一级伤残且完全丧失劳动能力以后，原告和其家人精神上承受了巨大的打击。</w:t>
      </w:r>
    </w:p>
    <w:p>
      <w:pPr>
        <w:ind w:firstLine="560"/>
        <w:jc w:val="both"/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根据《</w:t>
      </w:r>
      <w:r>
        <w:rPr>
          <w:rFonts w:hint="eastAsia" w:ascii="楷体" w:hAnsi="楷体" w:eastAsia="楷体" w:cs="楷体"/>
          <w:b w:val="0"/>
          <w:bCs w:val="0"/>
          <w:color w:val="000000"/>
          <w:kern w:val="0"/>
          <w:sz w:val="28"/>
          <w:szCs w:val="28"/>
        </w:rPr>
        <w:t>中华人民共和国侵权责任法</w:t>
      </w:r>
      <w:r>
        <w:rPr>
          <w:rFonts w:hint="eastAsia" w:ascii="楷体" w:hAnsi="楷体" w:eastAsia="楷体" w:cs="楷体"/>
          <w:b w:val="0"/>
          <w:bCs w:val="0"/>
          <w:color w:val="000000"/>
          <w:kern w:val="0"/>
          <w:sz w:val="28"/>
          <w:szCs w:val="28"/>
          <w:lang w:eastAsia="zh-CN"/>
        </w:rPr>
        <w:t>》</w:t>
      </w:r>
      <w:r>
        <w:rPr>
          <w:rFonts w:hint="eastAsia" w:ascii="楷体" w:hAnsi="楷体" w:eastAsia="楷体" w:cs="楷体"/>
          <w:b w:val="0"/>
          <w:bCs w:val="0"/>
          <w:color w:val="000000"/>
          <w:kern w:val="0"/>
          <w:sz w:val="28"/>
          <w:szCs w:val="28"/>
          <w:lang w:val="en-US" w:eastAsia="zh-CN"/>
        </w:rPr>
        <w:t>和《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最高人民法院关于审理人身损害赔偿案件适用法律若干问题的解释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》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的相关规定，原告作为被告一的雇员，其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在从事雇佣活动中遭受人身损害，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被告一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应当承担赔偿责任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被告二未做现场安全防护措施，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造成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原告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人身损害的，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原告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可以请求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被告二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承担赔偿责任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原告没有过错，两被告连带承担全部赔偿责任，包括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因就医治疗支出的各项费用及因误工减少的收入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含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医疗费、误工费、护理费、交通费、住宿费、住院伙食补助费、必要的营养费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受害人因伤致残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所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增加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生活上需要支出的必要费用及因丧失劳动能力导致的收入损失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含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残疾赔偿金、残疾辅助器具费以及因康复护理、继续治疗实际发生的必要的康复费、护理费、后续治疗费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以及伤残鉴定的费用，总计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1,466,636.48元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。</w:t>
      </w:r>
    </w:p>
    <w:p>
      <w:pPr>
        <w:ind w:firstLine="560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此外，根据《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最高人民法院关于确定民事侵权精神损害赔偿责任若干问题的解释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》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《最高人民法院关于确定民事侵权精神损害赔偿责任若干问题的解释》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的相关规定，原告因伤致残，不仅给原告的家庭带来了经济上的巨大损失，也对原告和原告的家人造成了精神上的巨大打击；原告有权请求两被告连带赔偿精神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精神损害抚慰金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50，000元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。</w:t>
      </w:r>
    </w:p>
    <w:p>
      <w:pPr>
        <w:ind w:firstLine="560"/>
        <w:rPr>
          <w:rFonts w:hint="eastAsia" w:ascii="楷体" w:hAnsi="楷体" w:eastAsia="楷体" w:cs="楷体"/>
          <w:color w:val="333333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sz w:val="28"/>
          <w:szCs w:val="28"/>
        </w:rPr>
        <w:t>根据《民事诉讼法》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的相关</w:t>
      </w:r>
      <w:r>
        <w:rPr>
          <w:rFonts w:hint="eastAsia" w:ascii="楷体" w:hAnsi="楷体" w:eastAsia="楷体" w:cs="楷体"/>
          <w:sz w:val="28"/>
          <w:szCs w:val="28"/>
        </w:rPr>
        <w:t>规定，</w:t>
      </w:r>
      <w:r>
        <w:rPr>
          <w:rFonts w:hint="eastAsia" w:ascii="楷体" w:hAnsi="楷体" w:eastAsia="楷体" w:cs="楷体"/>
          <w:color w:val="333333"/>
          <w:sz w:val="28"/>
          <w:szCs w:val="28"/>
          <w:shd w:val="clear" w:color="auto" w:fill="FFFFFF"/>
        </w:rPr>
        <w:t>为了维护自身合法权益，特向贵院提起诉讼，请贵院依法判如所请。</w:t>
      </w:r>
    </w:p>
    <w:p>
      <w:pPr>
        <w:jc w:val="left"/>
        <w:rPr>
          <w:rFonts w:hint="eastAsia" w:ascii="楷体" w:hAnsi="楷体" w:eastAsia="楷体" w:cs="楷体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color w:val="333333"/>
          <w:sz w:val="28"/>
          <w:szCs w:val="28"/>
          <w:shd w:val="clear" w:color="auto" w:fill="FFFFFF"/>
          <w:lang w:val="en-US" w:eastAsia="zh-CN"/>
        </w:rPr>
        <w:t>此致</w:t>
      </w:r>
    </w:p>
    <w:p>
      <w:pPr>
        <w:jc w:val="right"/>
        <w:rPr>
          <w:rFonts w:hint="eastAsia" w:ascii="楷体" w:hAnsi="楷体" w:eastAsia="楷体" w:cs="楷体"/>
          <w:color w:val="333333"/>
          <w:sz w:val="28"/>
          <w:szCs w:val="28"/>
          <w:shd w:val="clear" w:color="auto" w:fill="FFFFFF"/>
          <w:lang w:val="en-US" w:eastAsia="zh-CN"/>
        </w:rPr>
      </w:pPr>
    </w:p>
    <w:p>
      <w:pPr>
        <w:jc w:val="right"/>
        <w:rPr>
          <w:rFonts w:hint="eastAsia" w:ascii="楷体" w:hAnsi="楷体" w:eastAsia="楷体" w:cs="楷体"/>
          <w:color w:val="333333"/>
          <w:sz w:val="28"/>
          <w:szCs w:val="28"/>
          <w:shd w:val="clear" w:color="auto" w:fill="FFFFFF"/>
          <w:lang w:val="en-US" w:eastAsia="zh-CN"/>
        </w:rPr>
      </w:pPr>
    </w:p>
    <w:p>
      <w:pPr>
        <w:jc w:val="right"/>
        <w:rPr>
          <w:rFonts w:hint="eastAsia" w:ascii="楷体" w:hAnsi="楷体" w:eastAsia="楷体" w:cs="楷体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color w:val="333333"/>
          <w:sz w:val="28"/>
          <w:szCs w:val="28"/>
          <w:shd w:val="clear" w:color="auto" w:fill="FFFFFF"/>
          <w:lang w:val="en-US" w:eastAsia="zh-CN"/>
        </w:rPr>
        <w:t>起诉人：牛某年</w:t>
      </w:r>
    </w:p>
    <w:p>
      <w:pPr>
        <w:numPr>
          <w:ilvl w:val="0"/>
          <w:numId w:val="0"/>
        </w:numPr>
        <w:jc w:val="right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333333"/>
          <w:sz w:val="28"/>
          <w:szCs w:val="28"/>
          <w:lang w:val="en-US" w:eastAsia="zh-CN"/>
        </w:rPr>
        <w:t>2017年  月  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F4A57"/>
    <w:multiLevelType w:val="singleLevel"/>
    <w:tmpl w:val="571F4A57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67F27"/>
    <w:rsid w:val="00830EFC"/>
    <w:rsid w:val="00F05F99"/>
    <w:rsid w:val="03E47697"/>
    <w:rsid w:val="0402470D"/>
    <w:rsid w:val="05FE0657"/>
    <w:rsid w:val="068A7E8D"/>
    <w:rsid w:val="08514B39"/>
    <w:rsid w:val="087B791D"/>
    <w:rsid w:val="09F613F7"/>
    <w:rsid w:val="0D6C3C3F"/>
    <w:rsid w:val="0F61215A"/>
    <w:rsid w:val="0F9A1FE0"/>
    <w:rsid w:val="0FF94D2D"/>
    <w:rsid w:val="12ED2A86"/>
    <w:rsid w:val="134F7023"/>
    <w:rsid w:val="1364537F"/>
    <w:rsid w:val="13F70917"/>
    <w:rsid w:val="152E7E0F"/>
    <w:rsid w:val="15BB4BD0"/>
    <w:rsid w:val="166D7AAF"/>
    <w:rsid w:val="187472FF"/>
    <w:rsid w:val="18D04C2B"/>
    <w:rsid w:val="18E671B3"/>
    <w:rsid w:val="1A5B714F"/>
    <w:rsid w:val="1ACD35DF"/>
    <w:rsid w:val="1C4E67B2"/>
    <w:rsid w:val="1D1B5F05"/>
    <w:rsid w:val="1D7565BC"/>
    <w:rsid w:val="1E5A2F70"/>
    <w:rsid w:val="1ED92648"/>
    <w:rsid w:val="1F8908BF"/>
    <w:rsid w:val="1F985D3C"/>
    <w:rsid w:val="1FF224D3"/>
    <w:rsid w:val="21306B10"/>
    <w:rsid w:val="221574AA"/>
    <w:rsid w:val="27506A55"/>
    <w:rsid w:val="29DC3121"/>
    <w:rsid w:val="2BB96738"/>
    <w:rsid w:val="2C104E6D"/>
    <w:rsid w:val="2CAF2BC2"/>
    <w:rsid w:val="2D845E01"/>
    <w:rsid w:val="2DAB0534"/>
    <w:rsid w:val="2E7B51B8"/>
    <w:rsid w:val="2EA762A8"/>
    <w:rsid w:val="2EB20023"/>
    <w:rsid w:val="31E27919"/>
    <w:rsid w:val="326145D0"/>
    <w:rsid w:val="33661FCD"/>
    <w:rsid w:val="33A62672"/>
    <w:rsid w:val="353B534A"/>
    <w:rsid w:val="3576200D"/>
    <w:rsid w:val="35981FEB"/>
    <w:rsid w:val="35B67990"/>
    <w:rsid w:val="37114F42"/>
    <w:rsid w:val="38344763"/>
    <w:rsid w:val="3C456A69"/>
    <w:rsid w:val="3CC21BED"/>
    <w:rsid w:val="3D162942"/>
    <w:rsid w:val="3DA77DEA"/>
    <w:rsid w:val="3E7C3C63"/>
    <w:rsid w:val="3F08117A"/>
    <w:rsid w:val="3F087E25"/>
    <w:rsid w:val="3FE377FA"/>
    <w:rsid w:val="40440568"/>
    <w:rsid w:val="407040A2"/>
    <w:rsid w:val="40B70D29"/>
    <w:rsid w:val="41274313"/>
    <w:rsid w:val="41ED72C0"/>
    <w:rsid w:val="43127D6B"/>
    <w:rsid w:val="445618B7"/>
    <w:rsid w:val="459C2900"/>
    <w:rsid w:val="46F0054D"/>
    <w:rsid w:val="47A2704A"/>
    <w:rsid w:val="47F87C2E"/>
    <w:rsid w:val="4C39488C"/>
    <w:rsid w:val="4E55067B"/>
    <w:rsid w:val="4F1130F5"/>
    <w:rsid w:val="4F554968"/>
    <w:rsid w:val="4FAC4228"/>
    <w:rsid w:val="50033862"/>
    <w:rsid w:val="500C0A82"/>
    <w:rsid w:val="51F375C8"/>
    <w:rsid w:val="5268528B"/>
    <w:rsid w:val="52AD41DC"/>
    <w:rsid w:val="53104A35"/>
    <w:rsid w:val="54084677"/>
    <w:rsid w:val="55463346"/>
    <w:rsid w:val="55FF7A41"/>
    <w:rsid w:val="565014EE"/>
    <w:rsid w:val="568B3764"/>
    <w:rsid w:val="59F537B2"/>
    <w:rsid w:val="5C5F224F"/>
    <w:rsid w:val="5C7A0A7B"/>
    <w:rsid w:val="5D614AAD"/>
    <w:rsid w:val="5E0C0FD2"/>
    <w:rsid w:val="5E661466"/>
    <w:rsid w:val="5FF94D32"/>
    <w:rsid w:val="60502DA7"/>
    <w:rsid w:val="607236AD"/>
    <w:rsid w:val="60D61C0F"/>
    <w:rsid w:val="61244965"/>
    <w:rsid w:val="61AA5059"/>
    <w:rsid w:val="64900F4B"/>
    <w:rsid w:val="661A7BCD"/>
    <w:rsid w:val="663A12C4"/>
    <w:rsid w:val="66642822"/>
    <w:rsid w:val="66976635"/>
    <w:rsid w:val="66AE2857"/>
    <w:rsid w:val="66D54300"/>
    <w:rsid w:val="674A45C4"/>
    <w:rsid w:val="693537E9"/>
    <w:rsid w:val="6A8F79E6"/>
    <w:rsid w:val="6AD54673"/>
    <w:rsid w:val="6C683844"/>
    <w:rsid w:val="6D3F50EF"/>
    <w:rsid w:val="6E1A02B6"/>
    <w:rsid w:val="6FA62E56"/>
    <w:rsid w:val="6FA9477D"/>
    <w:rsid w:val="6FC27184"/>
    <w:rsid w:val="70427E32"/>
    <w:rsid w:val="71413C1C"/>
    <w:rsid w:val="72832387"/>
    <w:rsid w:val="73D67E65"/>
    <w:rsid w:val="73F831F2"/>
    <w:rsid w:val="751106FB"/>
    <w:rsid w:val="75A1307A"/>
    <w:rsid w:val="766D2B24"/>
    <w:rsid w:val="77017A7D"/>
    <w:rsid w:val="77984ACC"/>
    <w:rsid w:val="784829DD"/>
    <w:rsid w:val="7B3640EA"/>
    <w:rsid w:val="7B4E6CBA"/>
    <w:rsid w:val="7BAD156E"/>
    <w:rsid w:val="7C112E8E"/>
    <w:rsid w:val="7C3F1120"/>
    <w:rsid w:val="7CED3011"/>
    <w:rsid w:val="7E2D7157"/>
    <w:rsid w:val="7F19445F"/>
    <w:rsid w:val="7F297A1D"/>
    <w:rsid w:val="7F2B21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2D64B3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yperlink"/>
    <w:basedOn w:val="4"/>
    <w:qFormat/>
    <w:uiPriority w:val="0"/>
    <w:rPr>
      <w:color w:val="2D64B3"/>
      <w:u w:val="none"/>
    </w:rPr>
  </w:style>
  <w:style w:type="character" w:customStyle="1" w:styleId="9">
    <w:name w:val="ydx"/>
    <w:basedOn w:val="4"/>
    <w:qFormat/>
    <w:uiPriority w:val="0"/>
    <w:rPr>
      <w:shd w:val="clear" w:fill="CC6600"/>
    </w:rPr>
  </w:style>
  <w:style w:type="character" w:customStyle="1" w:styleId="10">
    <w:name w:val="zcjy"/>
    <w:basedOn w:val="4"/>
    <w:qFormat/>
    <w:uiPriority w:val="0"/>
    <w:rPr>
      <w:shd w:val="clear" w:fill="266EB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liaokun</dc:creator>
  <cp:lastModifiedBy>沙漠之舟：袁律</cp:lastModifiedBy>
  <dcterms:modified xsi:type="dcterms:W3CDTF">2021-03-23T09:27:40Z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